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3B4FB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95159"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F51C0D" w:rsidRPr="003B4FBC" w:rsidRDefault="003B4FBC" w:rsidP="00A961DD">
      <w:pPr>
        <w:ind w:firstLine="851"/>
        <w:jc w:val="center"/>
        <w:rPr>
          <w:rFonts w:cs="Times New Roman"/>
          <w:b/>
          <w:color w:val="000000"/>
          <w:shd w:val="clear" w:color="auto" w:fill="FFFFFF"/>
        </w:rPr>
      </w:pPr>
      <w:r w:rsidRPr="003B4FBC">
        <w:rPr>
          <w:rFonts w:cs="Times New Roman"/>
          <w:b/>
          <w:bCs/>
          <w:caps/>
          <w:color w:val="000000"/>
          <w:shd w:val="clear" w:color="auto" w:fill="FFFFFF"/>
        </w:rPr>
        <w:t>ОХРАННЫЕ ЗОНЫ: ЧТО НУЖНО ЗНАТЬ, ПРИОБРЕТАЯ ЗЕМЕЛЬНЫЙ УЧАСТОК</w:t>
      </w:r>
    </w:p>
    <w:p w:rsidR="003B4FBC" w:rsidRDefault="003B4FBC" w:rsidP="003B4FBC">
      <w:pPr>
        <w:widowControl/>
        <w:shd w:val="clear" w:color="auto" w:fill="FFFFFF"/>
        <w:suppressAutoHyphens w:val="0"/>
        <w:spacing w:after="225"/>
        <w:rPr>
          <w:rFonts w:eastAsia="Times New Roman" w:cs="Times New Roman"/>
          <w:color w:val="777777"/>
          <w:kern w:val="0"/>
          <w:lang w:eastAsia="ru-RU" w:bidi="ar-SA"/>
        </w:rPr>
      </w:pPr>
      <w:r w:rsidRPr="003B4FBC">
        <w:rPr>
          <w:rFonts w:eastAsia="Times New Roman" w:cs="Times New Roman"/>
          <w:color w:val="000000"/>
          <w:kern w:val="0"/>
          <w:lang w:eastAsia="ru-RU" w:bidi="ar-SA"/>
        </w:rPr>
        <w:t>Задумываясь о приобретении земельного участка необходимо тщательно собрать максимально полную информацию о нем. Для определения возможности использования земли для строительства дома, здания или иного сооружения одной из важных составляющих является информации о зонах с особыми условиями использования территорий. Как показывает практика, недостаток или несвоевременное получение такой информации зачастую отрицательным образом сказывается не только на бюджете и сроках строительства объекта недвижимости, но и в целом на судьбе построенного объекта.</w:t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3B4F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Какие бывают виды охранных зон?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Охранная зона устанавливается в зависимости от вида охраняемого объекта.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 xml:space="preserve">Перечень видов зон установлен Земельным кодексом, согласно которому определено 28 видов зон с особыми условиями использования территории, например, охранные зоны трубопроводов, объектов </w:t>
      </w:r>
      <w:proofErr w:type="spellStart"/>
      <w:r w:rsidRPr="003B4FBC">
        <w:rPr>
          <w:rFonts w:eastAsia="Times New Roman" w:cs="Times New Roman"/>
          <w:color w:val="000000"/>
          <w:kern w:val="0"/>
          <w:lang w:eastAsia="ru-RU" w:bidi="ar-SA"/>
        </w:rPr>
        <w:t>электросетевого</w:t>
      </w:r>
      <w:proofErr w:type="spellEnd"/>
      <w:r w:rsidRPr="003B4FBC">
        <w:rPr>
          <w:rFonts w:eastAsia="Times New Roman" w:cs="Times New Roman"/>
          <w:color w:val="000000"/>
          <w:kern w:val="0"/>
          <w:lang w:eastAsia="ru-RU" w:bidi="ar-SA"/>
        </w:rPr>
        <w:t xml:space="preserve"> хозяйства, линий сооружений и связи, придорожные полосы и т.д.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В зависимости от вида зон в пределах ее территории устанавливаются те или иные ограничения использования земельных участков. Связаны эти ограничения, в основном, с возможностью размещения объектов капитального строительства в принципе или соблюдением определенных параметров возводимого объекта, проведением тех или иных строительных работ.</w:t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3B4F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Как узнать, какие охранные зоны есть на участке?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При проверке планируемого к приобретению земельного участка особое внимание следует уделять размещенным в его границах либо на прилегающих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участках инженерным сетям. Например, вокруг надземного или подземного трубопровода возникает охранная зона, режим которой может стать неприятным сюрпризом для застройщика, особенно это касается подземных сооружений, которые визуально обнаружить невозможно.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proofErr w:type="gramStart"/>
      <w:r w:rsidRPr="003B4FBC">
        <w:rPr>
          <w:rFonts w:eastAsia="Times New Roman" w:cs="Times New Roman"/>
          <w:color w:val="000000"/>
          <w:kern w:val="0"/>
          <w:lang w:eastAsia="ru-RU" w:bidi="ar-SA"/>
        </w:rPr>
        <w:t>Поэтому необходимо заказать выписку из Единого государственного реестра недвижимости ЕГРН) и посмотреть раздел «Ограничения».</w:t>
      </w:r>
      <w:proofErr w:type="gramEnd"/>
      <w:r w:rsidRPr="003B4FBC">
        <w:rPr>
          <w:rFonts w:eastAsia="Times New Roman" w:cs="Times New Roman"/>
          <w:color w:val="000000"/>
          <w:kern w:val="0"/>
          <w:lang w:eastAsia="ru-RU" w:bidi="ar-SA"/>
        </w:rPr>
        <w:t xml:space="preserve"> Кроме того, сведения о зонах с особыми условиями использования территории отображаются на Публичной кадастровой карте на сайте </w:t>
      </w:r>
      <w:proofErr w:type="spellStart"/>
      <w:r w:rsidRPr="003B4FBC">
        <w:rPr>
          <w:rFonts w:eastAsia="Times New Roman" w:cs="Times New Roman"/>
          <w:color w:val="000000"/>
          <w:kern w:val="0"/>
          <w:lang w:eastAsia="ru-RU" w:bidi="ar-SA"/>
        </w:rPr>
        <w:t>Росреестра</w:t>
      </w:r>
      <w:proofErr w:type="spellEnd"/>
      <w:r w:rsidRPr="003B4FBC">
        <w:rPr>
          <w:rFonts w:eastAsia="Times New Roman" w:cs="Times New Roman"/>
          <w:color w:val="000000"/>
          <w:kern w:val="0"/>
          <w:lang w:eastAsia="ru-RU" w:bidi="ar-SA"/>
        </w:rPr>
        <w:t>. Также можно сделать запрос в органы архитектуры о том, какие охранные зоны содержатся в документации по планировке территории.</w:t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3B4F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Охранная зона в выписке из ЕГРН не указана, почему?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Бывают случаи, когда в ЕГРН отсутствует запись об охранной зоне, но исходя из местоположения промышленного объекта на местности понятно, что она есть. Это связано в первую очередь с тем, что собственник промышленного объекта в нарушение законодательства не определил границы охранной зоны и не внес их в Единый государственный реестр недвижимости. Это является существенным нарушением режима использования такого объекта и является основанием для обращения в надзорные органы. При не урегулировании данного вопроса в дальнейшем при попытке строительства зданий, строений сооружений на участке, попавшем в охранную зону (даже при отсутствии такой записи в ЕГРН) может возникнуть множество проблем.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proofErr w:type="gramStart"/>
      <w:r w:rsidRPr="003B4FBC">
        <w:rPr>
          <w:rFonts w:eastAsia="Times New Roman" w:cs="Times New Roman"/>
          <w:color w:val="000000"/>
          <w:kern w:val="0"/>
          <w:lang w:eastAsia="ru-RU" w:bidi="ar-SA"/>
        </w:rPr>
        <w:t xml:space="preserve">Следует отметить, что если вблизи земельного участка расположена линия электропередачи, трубопровод и т.д., то это может указывать на то, что земельный участок входит в охранную </w:t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lastRenderedPageBreak/>
        <w:t>зону, а отсутствие в ЕГРН сведений об охранной зоне не является основанием для освобождения собственника земельного участка, расположенного в границах такой зоны, от выполнения требований к режиму использования таких земель.</w:t>
      </w:r>
      <w:r w:rsidRPr="003B4FBC">
        <w:rPr>
          <w:rFonts w:eastAsia="Times New Roman" w:cs="Times New Roman"/>
          <w:color w:val="777777"/>
          <w:kern w:val="0"/>
          <w:lang w:eastAsia="ru-RU" w:bidi="ar-SA"/>
        </w:rPr>
        <w:t> </w:t>
      </w:r>
      <w:proofErr w:type="gramEnd"/>
    </w:p>
    <w:p w:rsidR="003B4FBC" w:rsidRDefault="003B4FBC" w:rsidP="003B4FBC">
      <w:pPr>
        <w:widowControl/>
        <w:shd w:val="clear" w:color="auto" w:fill="FFFFFF"/>
        <w:suppressAutoHyphens w:val="0"/>
        <w:spacing w:after="225"/>
        <w:rPr>
          <w:rFonts w:eastAsia="Times New Roman" w:cs="Times New Roman"/>
          <w:color w:val="777777"/>
          <w:kern w:val="0"/>
          <w:lang w:eastAsia="ru-RU" w:bidi="ar-SA"/>
        </w:rPr>
      </w:pPr>
      <w:r w:rsidRPr="003B4F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Чем опасны охранные зоны на земельном участке?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Любая охранная зона предполагает наличие ограничений по целевому использованию земельного участка. Охранная зона газопровода или ЛЭП может повлечь запрет на строительство каких-либо зданий, строений и сооружений. Наличие санитарно-защитной зоны указывает на запрет строительства объектов жилого назначения. Наличие кабеля означает, что любые земляные работы проводятся только при наличии согласования организации – собственника такой кабельной линии.</w:t>
      </w:r>
      <w:r w:rsidRPr="003B4FBC">
        <w:rPr>
          <w:rFonts w:eastAsia="Times New Roman" w:cs="Times New Roman"/>
          <w:color w:val="777777"/>
          <w:kern w:val="0"/>
          <w:lang w:eastAsia="ru-RU" w:bidi="ar-SA"/>
        </w:rPr>
        <w:t> </w:t>
      </w:r>
    </w:p>
    <w:p w:rsidR="003B4FBC" w:rsidRDefault="003B4FBC" w:rsidP="003B4FBC">
      <w:pPr>
        <w:widowControl/>
        <w:shd w:val="clear" w:color="auto" w:fill="FFFFFF"/>
        <w:suppressAutoHyphens w:val="0"/>
        <w:spacing w:after="225"/>
        <w:rPr>
          <w:rFonts w:eastAsia="Times New Roman" w:cs="Times New Roman"/>
          <w:color w:val="777777"/>
          <w:kern w:val="0"/>
          <w:lang w:eastAsia="ru-RU" w:bidi="ar-SA"/>
        </w:rPr>
      </w:pPr>
      <w:r w:rsidRPr="003B4F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Происходит ли изъятие участков в охранной зоне?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Земельные участки у их собственников, землепользователей, землевладельцев и арендаторов не изымаются, но в границах этих участков может быть введен особый режим их использования, ограничивающий или запрещающий те виды деятельности, которые несовместимы с целями установления таких зон.</w:t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3B4F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Кто согласовывает работы в охранной зоне газопровода?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Любые земляные, взрывные, строительные работы, а также иные действия, которые могут повлечь сбой нормальной эксплуатации газопровода, проводятся только по согласованию с собственником линейного промышленного объекта. Перед тем, как осуществлять согласование, для определения местоположения участка охранной зоны необходимо запросить сведения Единого государственного реестра недвижимости.</w:t>
      </w:r>
      <w:r w:rsidRPr="003B4FBC">
        <w:rPr>
          <w:rFonts w:eastAsia="Times New Roman" w:cs="Times New Roman"/>
          <w:color w:val="777777"/>
          <w:kern w:val="0"/>
          <w:lang w:eastAsia="ru-RU" w:bidi="ar-SA"/>
        </w:rPr>
        <w:t> </w:t>
      </w:r>
    </w:p>
    <w:p w:rsidR="003B4FBC" w:rsidRPr="003B4FBC" w:rsidRDefault="003B4FBC" w:rsidP="003B4FBC">
      <w:pPr>
        <w:widowControl/>
        <w:shd w:val="clear" w:color="auto" w:fill="FFFFFF"/>
        <w:suppressAutoHyphens w:val="0"/>
        <w:spacing w:after="225"/>
        <w:rPr>
          <w:rFonts w:eastAsia="Times New Roman" w:cs="Times New Roman"/>
          <w:color w:val="777777"/>
          <w:kern w:val="0"/>
          <w:lang w:eastAsia="ru-RU" w:bidi="ar-SA"/>
        </w:rPr>
      </w:pPr>
      <w:r w:rsidRPr="003B4F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Можно ли изменить охранную зону земельного участка?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 xml:space="preserve">Если у землепользователя возникли сомнения в правильности установленных размеров охранной зоны, </w:t>
      </w:r>
      <w:proofErr w:type="gramStart"/>
      <w:r w:rsidRPr="003B4FBC">
        <w:rPr>
          <w:rFonts w:eastAsia="Times New Roman" w:cs="Times New Roman"/>
          <w:color w:val="000000"/>
          <w:kern w:val="0"/>
          <w:lang w:eastAsia="ru-RU" w:bidi="ar-SA"/>
        </w:rPr>
        <w:t>возможно</w:t>
      </w:r>
      <w:proofErr w:type="gramEnd"/>
      <w:r w:rsidRPr="003B4FBC">
        <w:rPr>
          <w:rFonts w:eastAsia="Times New Roman" w:cs="Times New Roman"/>
          <w:color w:val="000000"/>
          <w:kern w:val="0"/>
          <w:lang w:eastAsia="ru-RU" w:bidi="ar-SA"/>
        </w:rPr>
        <w:t xml:space="preserve"> обратиться к кадастровому инженеру, чтобы он проверил расстояние от объекта, в связи с размещением которого установлена данная зона, до границ земельного участка и сравнить его с тем, что внесен в Единый государственный реестр недвижимости. Если они не совпадают, и очевидно, что участок в охранную зону не попадает, далее нужно написать письмо в эксплуатирующую объект организацию с требованием пересмотреть границы охранной зоны.</w:t>
      </w:r>
      <w:r w:rsidRPr="003B4FBC">
        <w:rPr>
          <w:rFonts w:eastAsia="Times New Roman" w:cs="Times New Roman"/>
          <w:color w:val="777777"/>
          <w:kern w:val="0"/>
          <w:lang w:eastAsia="ru-RU" w:bidi="ar-SA"/>
        </w:rPr>
        <w:t> </w:t>
      </w:r>
    </w:p>
    <w:p w:rsidR="003B4FBC" w:rsidRPr="003B4FBC" w:rsidRDefault="003B4FBC" w:rsidP="003B4FBC">
      <w:pPr>
        <w:widowControl/>
        <w:shd w:val="clear" w:color="auto" w:fill="FFFFFF"/>
        <w:suppressAutoHyphens w:val="0"/>
        <w:spacing w:after="225"/>
        <w:rPr>
          <w:rFonts w:eastAsia="Times New Roman" w:cs="Times New Roman"/>
          <w:color w:val="777777"/>
          <w:kern w:val="0"/>
          <w:lang w:eastAsia="ru-RU" w:bidi="ar-SA"/>
        </w:rPr>
      </w:pPr>
      <w:r w:rsidRPr="003B4F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Какая ответственность предусмотрена за работы в охранной зоне без согласования?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Для должностных лиц организаций это будет, в первую очередь, дисциплинарная ответственность, а дальше, в зависимости от последствий, может наступить административная, уголовная ответственность. Так, например, работы в охранной зоне газопровода без согласования газовой организации могут повлечь взрыв и нанести вред здоровью проводивших работы лиц. Очевидно, что за такое происшествие должностное лицо привлекут к уголовной ответственности. Если речь идет о действиях организации, работы которой привели к сбою газовой системы, то это в первую очередь будет гражданско-правовые последствия и возмещение убытков.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3B4FB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 кого взыскать убытки, если охранная зона не позволяет использовать земельный участок по назначению?</w:t>
      </w:r>
      <w:r w:rsidRPr="003B4FBC">
        <w:rPr>
          <w:rFonts w:eastAsia="Times New Roman" w:cs="Times New Roman"/>
          <w:color w:val="333399"/>
          <w:kern w:val="0"/>
          <w:lang w:eastAsia="ru-RU" w:bidi="ar-SA"/>
        </w:rPr>
        <w:br/>
      </w:r>
      <w:r w:rsidRPr="003B4FBC">
        <w:rPr>
          <w:rFonts w:eastAsia="Times New Roman" w:cs="Times New Roman"/>
          <w:color w:val="000000"/>
          <w:kern w:val="0"/>
          <w:lang w:eastAsia="ru-RU" w:bidi="ar-SA"/>
        </w:rPr>
        <w:t>Убытки взыскиваются с собственника объекта, для которого установлена охранная зона. Если убытки не возмещаются либо возмещаются в незначительном размере, необходимо обращаться в суд.</w:t>
      </w:r>
    </w:p>
    <w:p w:rsidR="009E155C" w:rsidRPr="00A961DD" w:rsidRDefault="00A961DD" w:rsidP="009E155C">
      <w:pPr>
        <w:ind w:firstLine="851"/>
        <w:jc w:val="both"/>
        <w:rPr>
          <w:rFonts w:cs="Times New Roman"/>
        </w:rPr>
      </w:pPr>
      <w:r w:rsidRPr="00A961DD">
        <w:rPr>
          <w:rFonts w:cs="Times New Roman"/>
          <w:color w:val="000000"/>
          <w:shd w:val="clear" w:color="auto" w:fill="FFFFFF"/>
        </w:rPr>
        <w:t>.</w:t>
      </w:r>
    </w:p>
    <w:p w:rsidR="0060522C" w:rsidRPr="00393488" w:rsidRDefault="00E21890" w:rsidP="009E155C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E21890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05" w:rsidRDefault="00E11705">
      <w:r>
        <w:separator/>
      </w:r>
    </w:p>
  </w:endnote>
  <w:endnote w:type="continuationSeparator" w:id="0">
    <w:p w:rsidR="00E11705" w:rsidRDefault="00E11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E21890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3B4FBC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05" w:rsidRDefault="00E11705">
      <w:r>
        <w:separator/>
      </w:r>
    </w:p>
  </w:footnote>
  <w:footnote w:type="continuationSeparator" w:id="0">
    <w:p w:rsidR="00E11705" w:rsidRDefault="00E11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5003B9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48DD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7BF58-D0C9-411C-91DE-917A6610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</cp:revision>
  <cp:lastPrinted>2017-06-09T07:52:00Z</cp:lastPrinted>
  <dcterms:created xsi:type="dcterms:W3CDTF">2018-12-11T04:24:00Z</dcterms:created>
  <dcterms:modified xsi:type="dcterms:W3CDTF">2018-12-11T04:24:00Z</dcterms:modified>
</cp:coreProperties>
</file>